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Na osnovu odluke direktora projekta Aleksandra Goračinova od 23/04/2025 godine, a u skladu sa članom 18.</w:t>
      </w:r>
      <w:r w:rsidDel="00000000" w:rsidR="00000000" w:rsidRPr="00000000">
        <w:rPr>
          <w:color w:val="ff0000"/>
          <w:rtl w:val="0"/>
        </w:rPr>
        <w:t xml:space="preserve"> </w:t>
      </w:r>
      <w:r w:rsidDel="00000000" w:rsidR="00000000" w:rsidRPr="00000000">
        <w:rPr>
          <w:rtl w:val="0"/>
        </w:rPr>
        <w:t xml:space="preserve">Pravilnika o nabavkama za organizacionu jedinicu za razvoj malih i srednjih preduzeća ICT Hub-a od 29.06.2023. godine (u daljem tekstu: „</w:t>
      </w:r>
      <w:r w:rsidDel="00000000" w:rsidR="00000000" w:rsidRPr="00000000">
        <w:rPr>
          <w:b w:val="1"/>
          <w:rtl w:val="0"/>
        </w:rPr>
        <w:t xml:space="preserve">Pravilnik</w:t>
      </w:r>
      <w:r w:rsidDel="00000000" w:rsidR="00000000" w:rsidRPr="00000000">
        <w:rPr>
          <w:rtl w:val="0"/>
        </w:rPr>
        <w:t xml:space="preserve">“), privrednog društva ICT Hub d.o.o., Beograd, sa registrovanim sedištem na adresi Kralja Milana broj 10, matični broj: 20388307, poreski identifikacioni broj: 105457073, odnosno za potrebe projekta SME HUB (u daljem tekstu: „</w:t>
      </w:r>
      <w:r w:rsidDel="00000000" w:rsidR="00000000" w:rsidRPr="00000000">
        <w:rPr>
          <w:b w:val="1"/>
          <w:rtl w:val="0"/>
        </w:rPr>
        <w:t xml:space="preserve">Naručilac</w:t>
      </w:r>
      <w:r w:rsidDel="00000000" w:rsidR="00000000" w:rsidRPr="00000000">
        <w:rPr>
          <w:rtl w:val="0"/>
        </w:rPr>
        <w:t xml:space="preserve">“) objavljuje:</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JAVNI POZIV ZA PRIKUPLJANJE PISANIH PONUDA SA TEHNIČKIM SPECIFIKACIJAMA I KRITERIJUMIMA ZA OCENU PONUDA I DODELJIVANJE UGOVORA O NABAVCI</w:t>
      </w:r>
    </w:p>
    <w:p w:rsidR="00000000" w:rsidDel="00000000" w:rsidP="00000000" w:rsidRDefault="00000000" w:rsidRPr="00000000" w14:paraId="00000008">
      <w:pPr>
        <w:jc w:val="center"/>
        <w:rPr>
          <w:b w:val="1"/>
        </w:rPr>
      </w:pPr>
      <w:r w:rsidDel="00000000" w:rsidR="00000000" w:rsidRPr="00000000">
        <w:rPr>
          <w:b w:val="1"/>
          <w:rtl w:val="0"/>
        </w:rPr>
        <w:t xml:space="preserve">[</w:t>
      </w:r>
      <w:r w:rsidDel="00000000" w:rsidR="00000000" w:rsidRPr="00000000">
        <w:rPr>
          <w:b w:val="1"/>
          <w:rtl w:val="0"/>
        </w:rPr>
        <w:t xml:space="preserve">SME30/N01/2025]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color w:val="000000"/>
        </w:rPr>
      </w:pPr>
      <w:r w:rsidDel="00000000" w:rsidR="00000000" w:rsidRPr="00000000">
        <w:rPr>
          <w:color w:val="000000"/>
          <w:rtl w:val="0"/>
        </w:rPr>
        <w:t xml:space="preserve">Ovim putem Vas pozivamo, u ime i za račun Naručioca, da dostavite ponudu za pružanje usluga </w:t>
      </w:r>
      <w:r w:rsidDel="00000000" w:rsidR="00000000" w:rsidRPr="00000000">
        <w:rPr>
          <w:b w:val="1"/>
          <w:color w:val="000000"/>
          <w:u w:val="single"/>
          <w:rtl w:val="0"/>
        </w:rPr>
        <w:t xml:space="preserve">izrade i implementacije ERP sistema</w:t>
      </w:r>
      <w:r w:rsidDel="00000000" w:rsidR="00000000" w:rsidRPr="00000000">
        <w:rPr>
          <w:b w:val="1"/>
          <w:color w:val="000000"/>
          <w:rtl w:val="0"/>
        </w:rPr>
        <w:t xml:space="preserve"> </w:t>
      </w:r>
      <w:r w:rsidDel="00000000" w:rsidR="00000000" w:rsidRPr="00000000">
        <w:rPr>
          <w:color w:val="000000"/>
          <w:rtl w:val="0"/>
        </w:rPr>
        <w:t xml:space="preserve">i obaveštavamo Vas o tehničkim specifikacijama nabavke, kriterijumima za ocenu ponuda i dodeljivanje ugovora o nabavci.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Pozivamo Vas da ponudu, u skladu sa ispod navedenim kriterijumima, dostavite u roku od 14 dana od dana objavljivanja ovog javnog poziva, na adresu Trg Nikole Pašića 7, putem pošte ili kurirske službe ili elektronskim putem na e-mail adresu Naručioca </w:t>
      </w:r>
      <w:hyperlink r:id="rId7">
        <w:r w:rsidDel="00000000" w:rsidR="00000000" w:rsidRPr="00000000">
          <w:rPr>
            <w:color w:val="0563c1"/>
            <w:u w:val="single"/>
            <w:rtl w:val="0"/>
          </w:rPr>
          <w:t xml:space="preserve">nabavka@smehub.rs</w:t>
        </w:r>
      </w:hyperlink>
      <w:r w:rsidDel="00000000" w:rsidR="00000000" w:rsidRPr="00000000">
        <w:rPr>
          <w:rtl w:val="0"/>
        </w:rPr>
        <w:t xml:space="preserve">..</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Pravo učešća na oglasu imaju pravna lica koja ispunjavaju uslove iz konkursne dokumentacije.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Ponuda, koja se dostavlja obavezno sadrži: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Napomenu da je reč o ponudi uz preciziranje na koju nabavku se odnosi;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Potpisanu Izjavu o ispunjenosti kriterijuma (kako je ista definisana u nastavku);</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Cenu za predmet nabavke;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256" w:lineRule="auto"/>
        <w:ind w:left="720" w:hanging="360"/>
        <w:jc w:val="both"/>
        <w:rPr>
          <w:color w:val="000000"/>
        </w:rPr>
      </w:pPr>
      <w:r w:rsidDel="00000000" w:rsidR="00000000" w:rsidRPr="00000000">
        <w:rPr>
          <w:color w:val="000000"/>
          <w:rtl w:val="0"/>
        </w:rPr>
        <w:t xml:space="preserve">Druge dokaze koji se zahtevaju prema ovom pozivu.</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Napominjemo da Naručilac može odbiti da uzme u razmatranje ponude podnete nakon predviđenog roka i nepotpune ponude.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spacing w:after="120" w:lineRule="auto"/>
        <w:jc w:val="center"/>
        <w:rPr>
          <w:b w:val="1"/>
        </w:rPr>
      </w:pPr>
      <w:r w:rsidDel="00000000" w:rsidR="00000000" w:rsidRPr="00000000">
        <w:rPr>
          <w:b w:val="1"/>
          <w:rtl w:val="0"/>
        </w:rPr>
        <w:t xml:space="preserve">Tehničke specifikacije, kriterijumi za ocenu ponuda i dodeljivanje ugovora o nabavci</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Tehničke specifikacije ERP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Neophodno je integrisati sistem modularnog tipa, od kojih bi osnovni bili:</w:t>
      </w:r>
    </w:p>
    <w:p w:rsidR="00000000" w:rsidDel="00000000" w:rsidP="00000000" w:rsidRDefault="00000000" w:rsidRPr="00000000" w14:paraId="0000001E">
      <w:pPr>
        <w:jc w:val="both"/>
        <w:rPr/>
      </w:pPr>
      <w:r w:rsidDel="00000000" w:rsidR="00000000" w:rsidRPr="00000000">
        <w:rPr>
          <w:rtl w:val="0"/>
        </w:rPr>
        <w:t xml:space="preserve">1. Korisnički modul (user) sa svim potrebnim funkcijama (registracija korisnika, korisničke šifre, zaboravljena lozinka, korisničke role, dodela administratora, radne grupe, i sl.</w:t>
      </w:r>
    </w:p>
    <w:p w:rsidR="00000000" w:rsidDel="00000000" w:rsidP="00000000" w:rsidRDefault="00000000" w:rsidRPr="00000000" w14:paraId="0000001F">
      <w:pPr>
        <w:jc w:val="both"/>
        <w:rPr/>
      </w:pPr>
      <w:r w:rsidDel="00000000" w:rsidR="00000000" w:rsidRPr="00000000">
        <w:rPr>
          <w:rtl w:val="0"/>
        </w:rPr>
        <w:t xml:space="preserve">2. Modul objekti (assets) u okviru koga bi se obuhvatili svi objekti i oprema, kreirale line karte istih, sa mogućnošću dodavanja dodatih informacija kada se za tim ukaže potreba.</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3. Modul klijenti koji bi sadržao „kartice" klijenata sa svim potrebnim podacima, klijentski profil, pregled plaćanja i dugovanja, fakture i sl.</w:t>
      </w:r>
    </w:p>
    <w:p w:rsidR="00000000" w:rsidDel="00000000" w:rsidP="00000000" w:rsidRDefault="00000000" w:rsidRPr="00000000" w14:paraId="00000026">
      <w:pPr>
        <w:jc w:val="both"/>
        <w:rPr/>
      </w:pPr>
      <w:r w:rsidDel="00000000" w:rsidR="00000000" w:rsidRPr="00000000">
        <w:rPr>
          <w:rtl w:val="0"/>
        </w:rPr>
        <w:t xml:space="preserve">4. Modul inventar koji bi sadržao sve informacije o sirovinama, polu proizvodima i gotovim proizvodima po kategorijama, pod kategorijama, modelima, različitim varijantama jednog modela...</w:t>
      </w:r>
    </w:p>
    <w:p w:rsidR="00000000" w:rsidDel="00000000" w:rsidP="00000000" w:rsidRDefault="00000000" w:rsidRPr="00000000" w14:paraId="00000027">
      <w:pPr>
        <w:jc w:val="both"/>
        <w:rPr/>
      </w:pPr>
      <w:r w:rsidDel="00000000" w:rsidR="00000000" w:rsidRPr="00000000">
        <w:rPr>
          <w:rtl w:val="0"/>
        </w:rPr>
        <w:t xml:space="preserve">5. Modul sastavnice (BoM) koji bi trebao da omogući da se za svaki model odredi potrebna količina materijala i koji bi se kasnije u nadogradnji koristio za kreiranje radnih naloga iz narudžbenice.</w:t>
      </w:r>
    </w:p>
    <w:p w:rsidR="00000000" w:rsidDel="00000000" w:rsidP="00000000" w:rsidRDefault="00000000" w:rsidRPr="00000000" w14:paraId="00000028">
      <w:pPr>
        <w:jc w:val="both"/>
        <w:rPr/>
      </w:pPr>
      <w:r w:rsidDel="00000000" w:rsidR="00000000" w:rsidRPr="00000000">
        <w:rPr>
          <w:rtl w:val="0"/>
        </w:rPr>
        <w:t xml:space="preserve">6. Modul prodaja koji bi pravio vezu između narudžbenica, ponuda i modula „klijenti".</w:t>
      </w:r>
    </w:p>
    <w:p w:rsidR="00000000" w:rsidDel="00000000" w:rsidP="00000000" w:rsidRDefault="00000000" w:rsidRPr="00000000" w14:paraId="00000029">
      <w:pPr>
        <w:jc w:val="both"/>
        <w:rPr/>
      </w:pPr>
      <w:r w:rsidDel="00000000" w:rsidR="00000000" w:rsidRPr="00000000">
        <w:rPr>
          <w:rtl w:val="0"/>
        </w:rPr>
        <w:t xml:space="preserve">7. Modul radni nalozi koji bi bio  kreiran tako da može da prati konverziju materijala -</w:t>
      </w:r>
    </w:p>
    <w:p w:rsidR="00000000" w:rsidDel="00000000" w:rsidP="00000000" w:rsidRDefault="00000000" w:rsidRPr="00000000" w14:paraId="0000002A">
      <w:pPr>
        <w:jc w:val="both"/>
        <w:rPr/>
      </w:pPr>
      <w:r w:rsidDel="00000000" w:rsidR="00000000" w:rsidRPr="00000000">
        <w:rPr>
          <w:rtl w:val="0"/>
        </w:rPr>
        <w:t xml:space="preserve">sirovina, izlaznog proizvoda, utrošaka, radnih operacija po radniku i sl.</w:t>
      </w:r>
    </w:p>
    <w:p w:rsidR="00000000" w:rsidDel="00000000" w:rsidP="00000000" w:rsidRDefault="00000000" w:rsidRPr="00000000" w14:paraId="0000002B">
      <w:pPr>
        <w:jc w:val="both"/>
        <w:rPr/>
      </w:pPr>
      <w:r w:rsidDel="00000000" w:rsidR="00000000" w:rsidRPr="00000000">
        <w:rPr>
          <w:rtl w:val="0"/>
        </w:rPr>
        <w:t xml:space="preserve">8. Modul za praćenje stanja u magacinu sa mogućnošću praćenja trenutnog stanja, očekivanog stanja, rezervisanih proizvoda, dostupnosti materijala za proizvodnju, nedostajućih količina i dr.</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Napomene:</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Bilo bi poželjno da aplikacija ima mogućnost „offline" rada kako bi se radnicima omogućilo da i u uslovima kada nema interneta vide svoja zaduženja i da ih izvršavaju.</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Potrebno je da postoje tzv. Push notifikacije kako bi korisnici mogli da dobiju relevantne izmene kako se one dešavaju u slovima postojanja interneta.</w:t>
      </w:r>
    </w:p>
    <w:p w:rsidR="00000000" w:rsidDel="00000000" w:rsidP="00000000" w:rsidRDefault="00000000" w:rsidRPr="00000000" w14:paraId="00000030">
      <w:pPr>
        <w:jc w:val="both"/>
        <w:rPr>
          <w:u w:val="single"/>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720" w:hanging="360"/>
        <w:jc w:val="both"/>
        <w:rPr>
          <w:color w:val="000000"/>
          <w:u w:val="single"/>
        </w:rPr>
      </w:pPr>
      <w:r w:rsidDel="00000000" w:rsidR="00000000" w:rsidRPr="00000000">
        <w:rPr>
          <w:color w:val="000000"/>
          <w:u w:val="single"/>
          <w:rtl w:val="0"/>
        </w:rPr>
        <w:t xml:space="preserve">Kriterijumi za kvalitativni izbor privrednog subjekta</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ind w:left="1146" w:hanging="720"/>
        <w:jc w:val="both"/>
        <w:rPr>
          <w:color w:val="000000"/>
          <w:u w:val="single"/>
        </w:rPr>
      </w:pPr>
      <w:r w:rsidDel="00000000" w:rsidR="00000000" w:rsidRPr="00000000">
        <w:rPr>
          <w:color w:val="000000"/>
          <w:u w:val="single"/>
          <w:rtl w:val="0"/>
        </w:rPr>
        <w:t xml:space="preserve">Osnovi za isključenje</w:t>
      </w:r>
    </w:p>
    <w:p w:rsidR="00000000" w:rsidDel="00000000" w:rsidP="00000000" w:rsidRDefault="00000000" w:rsidRPr="00000000" w14:paraId="00000034">
      <w:pPr>
        <w:jc w:val="both"/>
        <w:rPr>
          <w:u w:val="single"/>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Naručilac će isključiti privrednog subjekta iz postupka nabavke ukoliko postoji bilo koji od dole navedenih osnova: </w:t>
      </w:r>
    </w:p>
    <w:p w:rsidR="00000000" w:rsidDel="00000000" w:rsidP="00000000" w:rsidRDefault="00000000" w:rsidRPr="00000000" w14:paraId="00000036">
      <w:pPr>
        <w:rPr/>
      </w:pP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696"/>
        <w:gridCol w:w="7320"/>
        <w:tblGridChange w:id="0">
          <w:tblGrid>
            <w:gridCol w:w="1696"/>
            <w:gridCol w:w="7320"/>
          </w:tblGrid>
        </w:tblGridChange>
      </w:tblGrid>
      <w:tr>
        <w:trPr>
          <w:cantSplit w:val="0"/>
          <w:trHeight w:val="533" w:hRule="atLeast"/>
          <w:tblHeader w:val="0"/>
        </w:trPr>
        <w:tc>
          <w:tcPr>
            <w:gridSpan w:val="2"/>
            <w:shd w:fill="e7e6e6" w:val="clear"/>
          </w:tcPr>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Pravnosnažna presuda za jedno ili više krivičnih dela</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39">
            <w:pPr>
              <w:spacing w:after="80" w:lineRule="auto"/>
              <w:rPr/>
            </w:pPr>
            <w:r w:rsidDel="00000000" w:rsidR="00000000" w:rsidRPr="00000000">
              <w:rPr>
                <w:rtl w:val="0"/>
              </w:rPr>
              <w:t xml:space="preserve">Kriterijum: </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3A">
            <w:pPr>
              <w:spacing w:after="80" w:lineRule="auto"/>
              <w:jc w:val="both"/>
              <w:rPr/>
            </w:pPr>
            <w:r w:rsidDel="00000000" w:rsidR="00000000" w:rsidRPr="00000000">
              <w:rPr>
                <w:rtl w:val="0"/>
              </w:rPr>
              <w:t xml:space="preserve">Naručilac je dužan da isključi privrednog subjekta iz postupka nabavke ako utvrdi da je privredni subjekt i/ili njegov zakonski zastupnik u periodu od prethodnih pet godina do dana isteka roka za podnošenje ponuda pravnosnažno osuđen za:</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line="259" w:lineRule="auto"/>
              <w:ind w:left="360" w:hanging="360"/>
              <w:jc w:val="both"/>
              <w:rPr>
                <w:color w:val="000000"/>
              </w:rPr>
            </w:pPr>
            <w:r w:rsidDel="00000000" w:rsidR="00000000" w:rsidRPr="00000000">
              <w:rPr>
                <w:color w:val="000000"/>
                <w:rtl w:val="0"/>
              </w:rPr>
              <w:t xml:space="preserve">krivično delo koje je izvršio/izvršilo kao član organizovane kriminalne grupe i krivično delo udruživanje radi vršenja krivičnih dela; </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80" w:line="259" w:lineRule="auto"/>
              <w:ind w:left="360" w:hanging="360"/>
              <w:jc w:val="both"/>
              <w:rPr>
                <w:color w:val="000000"/>
              </w:rPr>
            </w:pPr>
            <w:r w:rsidDel="00000000" w:rsidR="00000000" w:rsidRPr="00000000">
              <w:rPr>
                <w:color w:val="000000"/>
                <w:rtl w:val="0"/>
              </w:rPr>
              <w:t xml:space="preserve">krivično delo zloupotrebe položaja odgovornog lica, krivično delo zloupotrebe u vezi sa javnom nabavkom, krivično delo primanja mita u obavljanju privredne delatnosti, krivično delo davanja mita u obavljanju privredne delatnosti, krivično delo zloupotrebe službenog položaja, krivično delo trgovine uticajem, krivično delo primanja mita i krivično delo davanja mita, krivično delo prevare, krivično delo neosnovanog dobijanja i korišćenja kredita i druge pogodnosti, krivično delo prevare u obavljanju privredne delatnosti i krivično delo poreske utaje, krivično delo terorizma, krivično delo javnog podsticanja na izvršenje terorističkih dela, krivično delo vrbovanja i obučavanja za vršenje terorističkih dela i krivično delo terorističkog udruživanja, krivično delo pranja novca, krivično delo finansiranja terorizma, krivično delo trgovine ljudima i krivično delo zasnivanja ropskog odnosa i prevoza lica u ropskom odnosu. </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3D">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3E">
            <w:pPr>
              <w:spacing w:after="80" w:lineRule="auto"/>
              <w:jc w:val="both"/>
              <w:rPr/>
            </w:pPr>
            <w:r w:rsidDel="00000000" w:rsidR="00000000" w:rsidRPr="00000000">
              <w:rPr>
                <w:rtl w:val="0"/>
              </w:rPr>
              <w:t xml:space="preserve">Privredni subjekt je dužan da uz ponudu podnese potpisanu Izjavu o ispunjenosti kriterijuma za ocenu ponuda koja je data u Prilogu 1 ovog Poziva, a kojom potvrđuje da ne postoji ovaj osnov za isključenje. </w:t>
            </w:r>
          </w:p>
          <w:p w:rsidR="00000000" w:rsidDel="00000000" w:rsidP="00000000" w:rsidRDefault="00000000" w:rsidRPr="00000000" w14:paraId="0000003F">
            <w:pPr>
              <w:spacing w:after="80" w:lineRule="auto"/>
              <w:jc w:val="both"/>
              <w:rPr/>
            </w:pPr>
            <w:r w:rsidDel="00000000" w:rsidR="00000000" w:rsidRPr="00000000">
              <w:rPr>
                <w:rtl w:val="0"/>
              </w:rPr>
              <w:t xml:space="preserve">Pored Izjave o ispunjenosti svih kriterijuma za ocenu ponuda, Naručilac može da zahteva od privrednog subjekta dostavljanje i drugih dokaza radi utvrđivanja ispunjenosti kriterijuma. </w:t>
            </w:r>
          </w:p>
        </w:tc>
      </w:tr>
      <w:tr>
        <w:trPr>
          <w:cantSplit w:val="0"/>
          <w:trHeight w:val="533" w:hRule="atLeast"/>
          <w:tblHeader w:val="0"/>
        </w:trPr>
        <w:tc>
          <w:tcPr>
            <w:gridSpan w:val="2"/>
            <w:tcBorders>
              <w:top w:color="ffffff" w:space="0" w:sz="4" w:val="single"/>
            </w:tcBorders>
            <w:shd w:fill="e7e6e6" w:val="clear"/>
          </w:tcPr>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Sukob interesa </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2">
            <w:pPr>
              <w:spacing w:after="80" w:lineRule="auto"/>
              <w:rPr/>
            </w:pPr>
            <w:r w:rsidDel="00000000" w:rsidR="00000000" w:rsidRPr="00000000">
              <w:rPr>
                <w:rtl w:val="0"/>
              </w:rPr>
              <w:t xml:space="preserve">Kriterijum:</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43">
            <w:pPr>
              <w:spacing w:after="80" w:lineRule="auto"/>
              <w:jc w:val="both"/>
              <w:rPr/>
            </w:pPr>
            <w:r w:rsidDel="00000000" w:rsidR="00000000" w:rsidRPr="00000000">
              <w:rPr>
                <w:rtl w:val="0"/>
              </w:rPr>
              <w:t xml:space="preserve">Naručilac je dužan da isključi privrednog subjekta iz postupka nabavke ako utvrdi da postoji sukob interesa, u smislu da:</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line="259" w:lineRule="auto"/>
              <w:ind w:left="360" w:hanging="360"/>
              <w:jc w:val="both"/>
              <w:rPr>
                <w:color w:val="000000"/>
              </w:rPr>
            </w:pPr>
            <w:r w:rsidDel="00000000" w:rsidR="00000000" w:rsidRPr="00000000">
              <w:rPr>
                <w:color w:val="000000"/>
                <w:rtl w:val="0"/>
              </w:rPr>
              <w:t xml:space="preserve">predstavnici Naručioca koji su uključeni u sprovođenje postupka nabavke ili mogu da utiču na ishod tog postupka, imaju direktan ili indirektan finansijski, ekonomski ili drugi privatni interes, za koji bi se moglo smatrati da dovodi u pitanje njihovu nepristrasnost i nezavisnost u tom postupku,</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59" w:lineRule="auto"/>
              <w:ind w:left="360" w:firstLine="0"/>
              <w:jc w:val="both"/>
              <w:rPr>
                <w:color w:val="000000"/>
              </w:rPr>
            </w:pPr>
            <w:r w:rsidDel="00000000" w:rsidR="00000000" w:rsidRPr="00000000">
              <w:rPr>
                <w:rtl w:val="0"/>
              </w:rPr>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line="259" w:lineRule="auto"/>
              <w:ind w:left="360" w:hanging="360"/>
              <w:jc w:val="both"/>
              <w:rPr>
                <w:color w:val="000000"/>
              </w:rPr>
            </w:pPr>
            <w:r w:rsidDel="00000000" w:rsidR="00000000" w:rsidRPr="00000000">
              <w:rPr>
                <w:color w:val="000000"/>
                <w:rtl w:val="0"/>
              </w:rPr>
              <w:t xml:space="preserve">predstavnik Naručioca učestvuje u upravljanju privrednog subjekta, ili</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59" w:lineRule="auto"/>
              <w:ind w:left="360" w:firstLine="0"/>
              <w:jc w:val="both"/>
              <w:rPr>
                <w:color w:val="000000"/>
              </w:rPr>
            </w:pPr>
            <w:r w:rsidDel="00000000" w:rsidR="00000000" w:rsidRPr="00000000">
              <w:rPr>
                <w:rtl w:val="0"/>
              </w:rPr>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80" w:line="259" w:lineRule="auto"/>
              <w:ind w:left="360" w:hanging="360"/>
              <w:jc w:val="both"/>
              <w:rPr>
                <w:color w:val="000000"/>
              </w:rPr>
            </w:pPr>
            <w:r w:rsidDel="00000000" w:rsidR="00000000" w:rsidRPr="00000000">
              <w:rPr>
                <w:color w:val="000000"/>
                <w:rtl w:val="0"/>
              </w:rPr>
              <w:t xml:space="preserve">predstavnik Naručioca ima više od 10% udela, odnosno akcija u osnovnom kapitalu privrednog subjekta.</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9">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4A">
            <w:pPr>
              <w:spacing w:after="80" w:lineRule="auto"/>
              <w:jc w:val="both"/>
              <w:rPr/>
            </w:pPr>
            <w:r w:rsidDel="00000000" w:rsidR="00000000" w:rsidRPr="00000000">
              <w:rPr>
                <w:rtl w:val="0"/>
              </w:rPr>
              <w:t xml:space="preserve">/ </w:t>
            </w:r>
          </w:p>
        </w:tc>
      </w:tr>
      <w:tr>
        <w:trPr>
          <w:cantSplit w:val="0"/>
          <w:trHeight w:val="534" w:hRule="atLeast"/>
          <w:tblHeader w:val="0"/>
        </w:trPr>
        <w:tc>
          <w:tcPr>
            <w:gridSpan w:val="2"/>
            <w:shd w:fill="e7e6e6" w:val="clear"/>
          </w:tcPr>
          <w:p w:rsidR="00000000" w:rsidDel="00000000" w:rsidP="00000000" w:rsidRDefault="00000000" w:rsidRPr="00000000" w14:paraId="0000004B">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Neprimeren uticaj na postupak </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D">
            <w:pPr>
              <w:spacing w:after="80" w:lineRule="auto"/>
              <w:rPr/>
            </w:pPr>
            <w:r w:rsidDel="00000000" w:rsidR="00000000" w:rsidRPr="00000000">
              <w:rPr>
                <w:rtl w:val="0"/>
              </w:rPr>
              <w:t xml:space="preserve">Kriterijum:</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4E">
            <w:pPr>
              <w:spacing w:after="80" w:lineRule="auto"/>
              <w:jc w:val="both"/>
              <w:rPr/>
            </w:pPr>
            <w:r w:rsidDel="00000000" w:rsidR="00000000" w:rsidRPr="00000000">
              <w:rPr>
                <w:rtl w:val="0"/>
              </w:rPr>
              <w:t xml:space="preserve">Naručilac je dužan da isključi privrednog subjekta iz postupka nabavke ako utvrdi da je privredni subjekt pokušao da izvrši neprimeren uticaj na postupak odlučivanja Naručioca ili da dođe do poverljivih podataka koji bi mogli da mu omoguće prednost u postupku nabavke ili je dostavio obmanjujuće podatke koji mogu da utiču na odluke koje se tiču isključenja privrednog subjekta, izbora privrednog subjekta ili dodeljivanja ugovora o nabavci.</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F">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50">
            <w:pPr>
              <w:spacing w:after="80" w:lineRule="auto"/>
              <w:jc w:val="both"/>
              <w:rPr/>
            </w:pPr>
            <w:r w:rsidDel="00000000" w:rsidR="00000000" w:rsidRPr="00000000">
              <w:rPr>
                <w:rtl w:val="0"/>
              </w:rPr>
              <w:t xml:space="preserve">/</w:t>
            </w:r>
          </w:p>
        </w:tc>
      </w:tr>
      <w:tr>
        <w:trPr>
          <w:cantSplit w:val="0"/>
          <w:trHeight w:val="533" w:hRule="atLeast"/>
          <w:tblHeader w:val="0"/>
        </w:trPr>
        <w:tc>
          <w:tcPr>
            <w:gridSpan w:val="2"/>
            <w:tcBorders>
              <w:bottom w:color="ffffff" w:space="0" w:sz="4" w:val="single"/>
            </w:tcBorders>
            <w:shd w:fill="e7e6e6" w:val="clear"/>
          </w:tcPr>
          <w:p w:rsidR="00000000" w:rsidDel="00000000" w:rsidP="00000000" w:rsidRDefault="00000000" w:rsidRPr="00000000" w14:paraId="00000051">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Stečaj</w:t>
            </w:r>
            <w:r w:rsidDel="00000000" w:rsidR="00000000" w:rsidRPr="00000000">
              <w:rPr>
                <w:b w:val="1"/>
                <w:color w:val="000000"/>
                <w:shd w:fill="e7e6e6" w:val="clear"/>
                <w:rtl w:val="0"/>
              </w:rPr>
              <w:t xml:space="preserve">, likvidacija i nesposobnost za plaćanje</w:t>
            </w:r>
            <w:r w:rsidDel="00000000" w:rsidR="00000000" w:rsidRPr="00000000">
              <w:rPr>
                <w:rtl w:val="0"/>
              </w:rPr>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53">
            <w:pPr>
              <w:spacing w:after="80" w:lineRule="auto"/>
              <w:rPr/>
            </w:pPr>
            <w:r w:rsidDel="00000000" w:rsidR="00000000" w:rsidRPr="00000000">
              <w:rPr>
                <w:rtl w:val="0"/>
              </w:rPr>
              <w:t xml:space="preserve">Kriterijum:</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54">
            <w:pPr>
              <w:spacing w:after="80" w:lineRule="auto"/>
              <w:jc w:val="both"/>
              <w:rPr/>
            </w:pPr>
            <w:r w:rsidDel="00000000" w:rsidR="00000000" w:rsidRPr="00000000">
              <w:rPr>
                <w:rtl w:val="0"/>
              </w:rPr>
              <w:t xml:space="preserve">Naručilac je dužan da isključi privrednog subjekta iz postupka nabavke ako utvrdi da je privredni subjekt u stečaju ili mu preti stečaj, da je nesposoban za plaćanje ili je u postupku likvidacije odnosno da mu preti postupak likvidacije, da njegovom imovinom upravlja stečajni (likvidacioni) upravnik ili sud, da je u aranžmanu pogodbe sa poveriocima, da je prestao da obavlja poslovnu delatnost ili je u bilo kakvoj istovrsnoj situaciji koja proizlazi iz sličnog postupka prema nacionalnim zakonima i propisima.</w:t>
            </w:r>
          </w:p>
        </w:tc>
      </w:tr>
      <w:tr>
        <w:trPr>
          <w:cantSplit w:val="0"/>
          <w:tblHeader w:val="0"/>
        </w:trPr>
        <w:tc>
          <w:tcPr>
            <w:tcBorders>
              <w:top w:color="ffffff" w:space="0" w:sz="4" w:val="single"/>
              <w:right w:color="ffffff" w:space="0" w:sz="4" w:val="single"/>
            </w:tcBorders>
            <w:shd w:fill="e7e6e6" w:val="clear"/>
          </w:tcPr>
          <w:p w:rsidR="00000000" w:rsidDel="00000000" w:rsidP="00000000" w:rsidRDefault="00000000" w:rsidRPr="00000000" w14:paraId="00000055">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tcBorders>
          </w:tcPr>
          <w:p w:rsidR="00000000" w:rsidDel="00000000" w:rsidP="00000000" w:rsidRDefault="00000000" w:rsidRPr="00000000" w14:paraId="00000056">
            <w:pPr>
              <w:spacing w:after="80" w:lineRule="auto"/>
              <w:jc w:val="both"/>
              <w:rPr/>
            </w:pPr>
            <w:r w:rsidDel="00000000" w:rsidR="00000000" w:rsidRPr="00000000">
              <w:rPr>
                <w:rtl w:val="0"/>
              </w:rPr>
              <w:t xml:space="preserve">Privredni subjekt dužan je da uz ponudu podnese potpisanu Izjavu o ispunjenosti kriterijuma za ocenu ponuda koja je data u Prilogu 1 ovog Poziva, a kojom potvrđuje da ne postoji ovaj osnov za isključenje. </w:t>
            </w:r>
          </w:p>
          <w:p w:rsidR="00000000" w:rsidDel="00000000" w:rsidP="00000000" w:rsidRDefault="00000000" w:rsidRPr="00000000" w14:paraId="00000057">
            <w:pPr>
              <w:spacing w:after="80" w:lineRule="auto"/>
              <w:jc w:val="both"/>
              <w:rPr/>
            </w:pPr>
            <w:r w:rsidDel="00000000" w:rsidR="00000000" w:rsidRPr="00000000">
              <w:rPr>
                <w:rtl w:val="0"/>
              </w:rPr>
              <w:t xml:space="preserve">Pored Izjave o ispunjenosti svih kriterijuma za ocenu ponuda, Naručilac može da zahteva od privrednog subjekta dostavljanje i drugih dokaza radi utvrđivanja ispunjenosti kriterijuma.</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ind w:left="1146" w:hanging="720"/>
        <w:jc w:val="both"/>
        <w:rPr>
          <w:color w:val="000000"/>
          <w:u w:val="single"/>
        </w:rPr>
      </w:pPr>
      <w:r w:rsidDel="00000000" w:rsidR="00000000" w:rsidRPr="00000000">
        <w:rPr>
          <w:color w:val="000000"/>
          <w:u w:val="single"/>
          <w:rtl w:val="0"/>
        </w:rPr>
        <w:t xml:space="preserve">Kriterijumi za izbor privrednog subjekta </w:t>
      </w:r>
    </w:p>
    <w:p w:rsidR="00000000" w:rsidDel="00000000" w:rsidP="00000000" w:rsidRDefault="00000000" w:rsidRPr="00000000" w14:paraId="0000005A">
      <w:pPr>
        <w:rPr/>
      </w:pPr>
      <w:r w:rsidDel="00000000" w:rsidR="00000000" w:rsidRPr="00000000">
        <w:rPr>
          <w:rtl w:val="0"/>
        </w:rPr>
      </w:r>
    </w:p>
    <w:tbl>
      <w:tblPr>
        <w:tblStyle w:val="Table2"/>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696"/>
        <w:gridCol w:w="7320"/>
        <w:tblGridChange w:id="0">
          <w:tblGrid>
            <w:gridCol w:w="1696"/>
            <w:gridCol w:w="7320"/>
          </w:tblGrid>
        </w:tblGridChange>
      </w:tblGrid>
      <w:tr>
        <w:trPr>
          <w:cantSplit w:val="0"/>
          <w:trHeight w:val="533" w:hRule="atLeast"/>
          <w:tblHeader w:val="0"/>
        </w:trPr>
        <w:tc>
          <w:tcPr>
            <w:gridSpan w:val="2"/>
            <w:shd w:fill="e7e6e6" w:val="clear"/>
          </w:tcPr>
          <w:p w:rsidR="00000000" w:rsidDel="00000000" w:rsidP="00000000" w:rsidRDefault="00000000" w:rsidRPr="00000000" w14:paraId="0000005B">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Obavljanje profesionalne delatnosti</w:t>
            </w:r>
          </w:p>
        </w:tc>
      </w:tr>
      <w:tr>
        <w:trPr>
          <w:cantSplit w:val="0"/>
          <w:tblHeader w:val="0"/>
        </w:trPr>
        <w:tc>
          <w:tcPr>
            <w:shd w:fill="e7e6e6" w:val="clear"/>
          </w:tcPr>
          <w:p w:rsidR="00000000" w:rsidDel="00000000" w:rsidP="00000000" w:rsidRDefault="00000000" w:rsidRPr="00000000" w14:paraId="0000005D">
            <w:pPr>
              <w:spacing w:after="80" w:lineRule="auto"/>
              <w:rPr/>
            </w:pPr>
            <w:r w:rsidDel="00000000" w:rsidR="00000000" w:rsidRPr="00000000">
              <w:rPr>
                <w:rtl w:val="0"/>
              </w:rPr>
              <w:t xml:space="preserve">Kriterijum:</w:t>
            </w:r>
          </w:p>
        </w:tc>
        <w:tc>
          <w:tcPr/>
          <w:p w:rsidR="00000000" w:rsidDel="00000000" w:rsidP="00000000" w:rsidRDefault="00000000" w:rsidRPr="00000000" w14:paraId="0000005E">
            <w:pPr>
              <w:spacing w:after="80" w:lineRule="auto"/>
              <w:jc w:val="both"/>
              <w:rPr/>
            </w:pPr>
            <w:r w:rsidDel="00000000" w:rsidR="00000000" w:rsidRPr="00000000">
              <w:rPr>
                <w:rtl w:val="0"/>
              </w:rPr>
              <w:t xml:space="preserve">Kompanija registrovana za računarsko programiranje (šifra delatnosti: 6201) koja je na tržištu duže od 7 godina;</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F">
            <w:pPr>
              <w:spacing w:after="80" w:lineRule="auto"/>
              <w:rPr/>
            </w:pPr>
            <w:r w:rsidDel="00000000" w:rsidR="00000000" w:rsidRPr="00000000">
              <w:rPr>
                <w:rtl w:val="0"/>
              </w:rPr>
              <w:t xml:space="preserve">Način dokazivanja ispunjenosti kriterijuma:</w:t>
            </w:r>
          </w:p>
        </w:tc>
        <w:tc>
          <w:tcPr/>
          <w:p w:rsidR="00000000" w:rsidDel="00000000" w:rsidP="00000000" w:rsidRDefault="00000000" w:rsidRPr="00000000" w14:paraId="00000060">
            <w:pPr>
              <w:spacing w:after="80" w:lineRule="auto"/>
              <w:jc w:val="both"/>
              <w:rPr/>
            </w:pPr>
            <w:r w:rsidDel="00000000" w:rsidR="00000000" w:rsidRPr="00000000">
              <w:rPr>
                <w:rtl w:val="0"/>
              </w:rPr>
              <w:t xml:space="preserve">Izjava i evidencija iz APRa.</w:t>
            </w:r>
          </w:p>
        </w:tc>
      </w:tr>
      <w:tr>
        <w:trPr>
          <w:cantSplit w:val="0"/>
          <w:trHeight w:val="533" w:hRule="atLeast"/>
          <w:tblHeader w:val="0"/>
        </w:trPr>
        <w:tc>
          <w:tcPr>
            <w:gridSpan w:val="2"/>
            <w:shd w:fill="e7e6e6" w:val="clear"/>
          </w:tcPr>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Tehnički i stručni kapacitet</w:t>
            </w:r>
          </w:p>
        </w:tc>
      </w:tr>
      <w:tr>
        <w:trPr>
          <w:cantSplit w:val="0"/>
          <w:tblHeader w:val="0"/>
        </w:trPr>
        <w:tc>
          <w:tcPr>
            <w:shd w:fill="e7e6e6" w:val="clear"/>
          </w:tcPr>
          <w:p w:rsidR="00000000" w:rsidDel="00000000" w:rsidP="00000000" w:rsidRDefault="00000000" w:rsidRPr="00000000" w14:paraId="00000063">
            <w:pPr>
              <w:spacing w:after="80" w:lineRule="auto"/>
              <w:rPr/>
            </w:pPr>
            <w:r w:rsidDel="00000000" w:rsidR="00000000" w:rsidRPr="00000000">
              <w:rPr>
                <w:rtl w:val="0"/>
              </w:rPr>
              <w:t xml:space="preserve">Kriterijum:</w:t>
            </w:r>
          </w:p>
        </w:tc>
        <w:tc>
          <w:tcPr/>
          <w:p w:rsidR="00000000" w:rsidDel="00000000" w:rsidP="00000000" w:rsidRDefault="00000000" w:rsidRPr="00000000" w14:paraId="00000064">
            <w:pPr>
              <w:spacing w:after="80" w:lineRule="auto"/>
              <w:jc w:val="both"/>
              <w:rPr/>
            </w:pPr>
            <w:r w:rsidDel="00000000" w:rsidR="00000000" w:rsidRPr="00000000">
              <w:rPr>
                <w:rtl w:val="0"/>
              </w:rPr>
              <w:t xml:space="preserve">Medju referencama saradnja sa minimum 2 velike kompanije, idealno</w:t>
            </w:r>
          </w:p>
          <w:p w:rsidR="00000000" w:rsidDel="00000000" w:rsidP="00000000" w:rsidRDefault="00000000" w:rsidRPr="00000000" w14:paraId="00000065">
            <w:pPr>
              <w:spacing w:after="80" w:lineRule="auto"/>
              <w:jc w:val="both"/>
              <w:rPr/>
            </w:pPr>
            <w:r w:rsidDel="00000000" w:rsidR="00000000" w:rsidRPr="00000000">
              <w:rPr>
                <w:rtl w:val="0"/>
              </w:rPr>
              <w:t xml:space="preserve">multinacionalne.</w:t>
            </w:r>
          </w:p>
          <w:p w:rsidR="00000000" w:rsidDel="00000000" w:rsidP="00000000" w:rsidRDefault="00000000" w:rsidRPr="00000000" w14:paraId="00000066">
            <w:pPr>
              <w:spacing w:after="8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7">
            <w:pPr>
              <w:spacing w:after="80" w:lineRule="auto"/>
              <w:rPr/>
            </w:pPr>
            <w:r w:rsidDel="00000000" w:rsidR="00000000" w:rsidRPr="00000000">
              <w:rPr>
                <w:rtl w:val="0"/>
              </w:rPr>
              <w:t xml:space="preserve">Način dokazivanja ispunjenosti kriterijuma:</w:t>
            </w:r>
          </w:p>
        </w:tc>
        <w:tc>
          <w:tcPr/>
          <w:p w:rsidR="00000000" w:rsidDel="00000000" w:rsidP="00000000" w:rsidRDefault="00000000" w:rsidRPr="00000000" w14:paraId="00000068">
            <w:pPr>
              <w:spacing w:after="80" w:lineRule="auto"/>
              <w:rPr/>
            </w:pPr>
            <w:r w:rsidDel="00000000" w:rsidR="00000000" w:rsidRPr="00000000">
              <w:rPr>
                <w:rtl w:val="0"/>
              </w:rPr>
              <w:t xml:space="preserve">Izjava.</w:t>
            </w:r>
          </w:p>
        </w:tc>
      </w:tr>
    </w:tbl>
    <w:p w:rsidR="00000000" w:rsidDel="00000000" w:rsidP="00000000" w:rsidRDefault="00000000" w:rsidRPr="00000000" w14:paraId="00000069">
      <w:pPr>
        <w:rPr/>
      </w:pPr>
      <w:r w:rsidDel="00000000" w:rsidR="00000000" w:rsidRPr="00000000">
        <w:rPr>
          <w:rtl w:val="0"/>
        </w:rPr>
      </w:r>
    </w:p>
    <w:tbl>
      <w:tblPr>
        <w:tblStyle w:val="Table3"/>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696"/>
        <w:gridCol w:w="7320"/>
        <w:tblGridChange w:id="0">
          <w:tblGrid>
            <w:gridCol w:w="1696"/>
            <w:gridCol w:w="7320"/>
          </w:tblGrid>
        </w:tblGridChange>
      </w:tblGrid>
      <w:tr>
        <w:trPr>
          <w:cantSplit w:val="0"/>
          <w:trHeight w:val="533" w:hRule="atLeast"/>
          <w:tblHeader w:val="0"/>
        </w:trPr>
        <w:tc>
          <w:tcPr>
            <w:gridSpan w:val="2"/>
            <w:shd w:fill="e7e6e6" w:val="clear"/>
          </w:tcPr>
          <w:p w:rsidR="00000000" w:rsidDel="00000000" w:rsidP="00000000" w:rsidRDefault="00000000" w:rsidRPr="00000000" w14:paraId="0000006A">
            <w:pPr>
              <w:numPr>
                <w:ilvl w:val="2"/>
                <w:numId w:val="7"/>
              </w:numPr>
              <w:spacing w:before="60" w:line="259" w:lineRule="auto"/>
              <w:ind w:left="1077" w:hanging="720"/>
              <w:rPr>
                <w:b w:val="1"/>
              </w:rPr>
            </w:pPr>
            <w:r w:rsidDel="00000000" w:rsidR="00000000" w:rsidRPr="00000000">
              <w:rPr>
                <w:b w:val="1"/>
                <w:rtl w:val="0"/>
              </w:rPr>
              <w:t xml:space="preserve">Tehnički i stručni kapacitet</w:t>
            </w:r>
          </w:p>
        </w:tc>
      </w:tr>
      <w:tr>
        <w:trPr>
          <w:cantSplit w:val="0"/>
          <w:tblHeader w:val="0"/>
        </w:trPr>
        <w:tc>
          <w:tcPr>
            <w:shd w:fill="e7e6e6" w:val="clear"/>
          </w:tcPr>
          <w:p w:rsidR="00000000" w:rsidDel="00000000" w:rsidP="00000000" w:rsidRDefault="00000000" w:rsidRPr="00000000" w14:paraId="0000006C">
            <w:pPr>
              <w:spacing w:after="80" w:lineRule="auto"/>
              <w:rPr/>
            </w:pPr>
            <w:r w:rsidDel="00000000" w:rsidR="00000000" w:rsidRPr="00000000">
              <w:rPr>
                <w:rtl w:val="0"/>
              </w:rPr>
              <w:t xml:space="preserve">Kriterijum:</w:t>
            </w:r>
          </w:p>
        </w:tc>
        <w:tc>
          <w:tcPr/>
          <w:p w:rsidR="00000000" w:rsidDel="00000000" w:rsidP="00000000" w:rsidRDefault="00000000" w:rsidRPr="00000000" w14:paraId="0000006D">
            <w:pPr>
              <w:spacing w:after="80" w:lineRule="auto"/>
              <w:jc w:val="both"/>
              <w:rPr/>
            </w:pPr>
            <w:r w:rsidDel="00000000" w:rsidR="00000000" w:rsidRPr="00000000">
              <w:rPr>
                <w:rtl w:val="0"/>
              </w:rPr>
              <w:t xml:space="preserve">Da je firma sposobna da napravi proizvod koji ispunjava sledece uslove:</w:t>
              <w:br w:type="textWrapping"/>
            </w:r>
          </w:p>
          <w:p w:rsidR="00000000" w:rsidDel="00000000" w:rsidP="00000000" w:rsidRDefault="00000000" w:rsidRPr="00000000" w14:paraId="0000006E">
            <w:pPr>
              <w:spacing w:after="80" w:lineRule="auto"/>
              <w:jc w:val="both"/>
              <w:rPr/>
            </w:pPr>
            <w:r w:rsidDel="00000000" w:rsidR="00000000" w:rsidRPr="00000000">
              <w:rPr>
                <w:rtl w:val="0"/>
              </w:rPr>
              <w:t xml:space="preserve">Hostovan u cloud-u</w:t>
            </w:r>
          </w:p>
          <w:p w:rsidR="00000000" w:rsidDel="00000000" w:rsidP="00000000" w:rsidRDefault="00000000" w:rsidRPr="00000000" w14:paraId="0000006F">
            <w:pPr>
              <w:spacing w:after="80" w:lineRule="auto"/>
              <w:jc w:val="both"/>
              <w:rPr/>
            </w:pPr>
            <w:r w:rsidDel="00000000" w:rsidR="00000000" w:rsidRPr="00000000">
              <w:rPr>
                <w:rtl w:val="0"/>
              </w:rPr>
              <w:t xml:space="preserve">- Web aplikacija (Angular + PHP) + mobilna aplikacija (Android + Huawei) za</w:t>
            </w:r>
          </w:p>
          <w:p w:rsidR="00000000" w:rsidDel="00000000" w:rsidP="00000000" w:rsidRDefault="00000000" w:rsidRPr="00000000" w14:paraId="00000070">
            <w:pPr>
              <w:spacing w:after="80" w:lineRule="auto"/>
              <w:jc w:val="both"/>
              <w:rPr/>
            </w:pPr>
            <w:r w:rsidDel="00000000" w:rsidR="00000000" w:rsidRPr="00000000">
              <w:rPr>
                <w:rtl w:val="0"/>
              </w:rPr>
              <w:t xml:space="preserve">izvršavanje zadataka sa offline režimom za korišćenje u uslovima bez internet</w:t>
            </w:r>
          </w:p>
          <w:p w:rsidR="00000000" w:rsidDel="00000000" w:rsidP="00000000" w:rsidRDefault="00000000" w:rsidRPr="00000000" w14:paraId="00000071">
            <w:pPr>
              <w:spacing w:after="80" w:lineRule="auto"/>
              <w:jc w:val="both"/>
              <w:rPr/>
            </w:pPr>
            <w:r w:rsidDel="00000000" w:rsidR="00000000" w:rsidRPr="00000000">
              <w:rPr>
                <w:rtl w:val="0"/>
              </w:rPr>
              <w:t xml:space="preserve">konekcije</w:t>
            </w:r>
          </w:p>
          <w:p w:rsidR="00000000" w:rsidDel="00000000" w:rsidP="00000000" w:rsidRDefault="00000000" w:rsidRPr="00000000" w14:paraId="00000072">
            <w:pPr>
              <w:spacing w:after="80" w:lineRule="auto"/>
              <w:jc w:val="both"/>
              <w:rPr/>
            </w:pPr>
            <w:r w:rsidDel="00000000" w:rsidR="00000000" w:rsidRPr="00000000">
              <w:rPr>
                <w:rtl w:val="0"/>
              </w:rPr>
              <w:t xml:space="preserve">- Moguće ga je koristiti na svim pametnim uređajima koji imaju internet konekciju</w:t>
            </w:r>
          </w:p>
          <w:p w:rsidR="00000000" w:rsidDel="00000000" w:rsidP="00000000" w:rsidRDefault="00000000" w:rsidRPr="00000000" w14:paraId="00000073">
            <w:pPr>
              <w:spacing w:after="80" w:lineRule="auto"/>
              <w:jc w:val="both"/>
              <w:rPr/>
            </w:pPr>
            <w:r w:rsidDel="00000000" w:rsidR="00000000" w:rsidRPr="00000000">
              <w:rPr>
                <w:rtl w:val="0"/>
              </w:rPr>
            </w:r>
          </w:p>
          <w:p w:rsidR="00000000" w:rsidDel="00000000" w:rsidP="00000000" w:rsidRDefault="00000000" w:rsidRPr="00000000" w14:paraId="00000074">
            <w:pPr>
              <w:spacing w:after="80" w:lineRule="auto"/>
              <w:jc w:val="both"/>
              <w:rPr/>
            </w:pPr>
            <w:r w:rsidDel="00000000" w:rsidR="00000000" w:rsidRPr="00000000">
              <w:rPr>
                <w:rtl w:val="0"/>
              </w:rPr>
              <w:t xml:space="preserve">- Modularan softver koji može da se nadograđuje</w:t>
            </w:r>
          </w:p>
          <w:p w:rsidR="00000000" w:rsidDel="00000000" w:rsidP="00000000" w:rsidRDefault="00000000" w:rsidRPr="00000000" w14:paraId="00000075">
            <w:pPr>
              <w:spacing w:after="80" w:lineRule="auto"/>
              <w:jc w:val="both"/>
              <w:rPr/>
            </w:pPr>
            <w:r w:rsidDel="00000000" w:rsidR="00000000" w:rsidRPr="00000000">
              <w:rPr>
                <w:rtl w:val="0"/>
              </w:rPr>
              <w:t xml:space="preserve">- Softver koji može da se integriše sa drugim informacionim sistemima putem</w:t>
            </w:r>
          </w:p>
          <w:p w:rsidR="00000000" w:rsidDel="00000000" w:rsidP="00000000" w:rsidRDefault="00000000" w:rsidRPr="00000000" w14:paraId="00000076">
            <w:pPr>
              <w:spacing w:after="80" w:lineRule="auto"/>
              <w:jc w:val="both"/>
              <w:rPr/>
            </w:pPr>
            <w:r w:rsidDel="00000000" w:rsidR="00000000" w:rsidRPr="00000000">
              <w:rPr>
                <w:rtl w:val="0"/>
              </w:rPr>
              <w:t xml:space="preserve">REST API-a.</w:t>
            </w:r>
          </w:p>
          <w:p w:rsidR="00000000" w:rsidDel="00000000" w:rsidP="00000000" w:rsidRDefault="00000000" w:rsidRPr="00000000" w14:paraId="00000077">
            <w:pPr>
              <w:spacing w:after="80" w:lineRule="auto"/>
              <w:jc w:val="both"/>
              <w:rPr/>
            </w:pPr>
            <w:r w:rsidDel="00000000" w:rsidR="00000000" w:rsidRPr="00000000">
              <w:rPr>
                <w:rtl w:val="0"/>
              </w:rPr>
              <w:t xml:space="preserve">- Sistem prožet notifikacijama u “realnom” vremenu (web socket + firebase)</w:t>
            </w:r>
          </w:p>
          <w:p w:rsidR="00000000" w:rsidDel="00000000" w:rsidP="00000000" w:rsidRDefault="00000000" w:rsidRPr="00000000" w14:paraId="00000078">
            <w:pPr>
              <w:spacing w:after="80" w:lineRule="auto"/>
              <w:jc w:val="both"/>
              <w:rPr/>
            </w:pPr>
            <w:r w:rsidDel="00000000" w:rsidR="00000000" w:rsidRPr="00000000">
              <w:rPr>
                <w:rtl w:val="0"/>
              </w:rPr>
              <w:t xml:space="preserve">- Mogućnost planiranja i trošenja materijala na nivou pojedinačnih proizvodnih</w:t>
            </w:r>
          </w:p>
          <w:p w:rsidR="00000000" w:rsidDel="00000000" w:rsidP="00000000" w:rsidRDefault="00000000" w:rsidRPr="00000000" w14:paraId="00000079">
            <w:pPr>
              <w:spacing w:after="80" w:lineRule="auto"/>
              <w:jc w:val="both"/>
              <w:rPr/>
            </w:pPr>
            <w:r w:rsidDel="00000000" w:rsidR="00000000" w:rsidRPr="00000000">
              <w:rPr>
                <w:rtl w:val="0"/>
              </w:rPr>
              <w:t xml:space="preserve">operacija, ne samo na nivou proizvodnog naloga.</w:t>
            </w:r>
          </w:p>
          <w:p w:rsidR="00000000" w:rsidDel="00000000" w:rsidP="00000000" w:rsidRDefault="00000000" w:rsidRPr="00000000" w14:paraId="0000007A">
            <w:pPr>
              <w:spacing w:after="80" w:lineRule="auto"/>
              <w:jc w:val="both"/>
              <w:rPr/>
            </w:pPr>
            <w:r w:rsidDel="00000000" w:rsidR="00000000" w:rsidRPr="00000000">
              <w:rPr>
                <w:rtl w:val="0"/>
              </w:rPr>
              <w:t xml:space="preserve">- Mogućnost praćenja materijala po više jedinica mera, odnosno po obračunskoj</w:t>
            </w:r>
          </w:p>
          <w:p w:rsidR="00000000" w:rsidDel="00000000" w:rsidP="00000000" w:rsidRDefault="00000000" w:rsidRPr="00000000" w14:paraId="0000007B">
            <w:pPr>
              <w:spacing w:after="80" w:lineRule="auto"/>
              <w:jc w:val="both"/>
              <w:rPr/>
            </w:pPr>
            <w:r w:rsidDel="00000000" w:rsidR="00000000" w:rsidRPr="00000000">
              <w:rPr>
                <w:rtl w:val="0"/>
              </w:rPr>
              <w:t xml:space="preserve">vrednosti. Primera radi, prozor ima količinu [kom], širinu [cm], visinu [cm] i</w:t>
            </w:r>
          </w:p>
          <w:p w:rsidR="00000000" w:rsidDel="00000000" w:rsidP="00000000" w:rsidRDefault="00000000" w:rsidRPr="00000000" w14:paraId="0000007C">
            <w:pPr>
              <w:spacing w:after="80" w:lineRule="auto"/>
              <w:jc w:val="both"/>
              <w:rPr/>
            </w:pPr>
            <w:r w:rsidDel="00000000" w:rsidR="00000000" w:rsidRPr="00000000">
              <w:rPr>
                <w:rtl w:val="0"/>
              </w:rPr>
              <w:t xml:space="preserve">obračunsku vrednost [m^2]. Kada se koristi materijal u planiranju, neophodno je</w:t>
            </w:r>
          </w:p>
          <w:p w:rsidR="00000000" w:rsidDel="00000000" w:rsidP="00000000" w:rsidRDefault="00000000" w:rsidRPr="00000000" w14:paraId="0000007D">
            <w:pPr>
              <w:spacing w:after="80" w:lineRule="auto"/>
              <w:jc w:val="both"/>
              <w:rPr/>
            </w:pPr>
            <w:r w:rsidDel="00000000" w:rsidR="00000000" w:rsidRPr="00000000">
              <w:rPr>
                <w:rtl w:val="0"/>
              </w:rPr>
              <w:t xml:space="preserve">uzeti u obzir sve ove parametre, ne samo obračunsku vrednost.</w:t>
            </w:r>
          </w:p>
          <w:p w:rsidR="00000000" w:rsidDel="00000000" w:rsidP="00000000" w:rsidRDefault="00000000" w:rsidRPr="00000000" w14:paraId="0000007E">
            <w:pPr>
              <w:spacing w:after="80" w:lineRule="auto"/>
              <w:jc w:val="both"/>
              <w:rPr/>
            </w:pPr>
            <w:r w:rsidDel="00000000" w:rsidR="00000000" w:rsidRPr="00000000">
              <w:rPr>
                <w:rtl w:val="0"/>
              </w:rPr>
              <w:t xml:space="preserve">- Sastavnica mora da ima mogućnost pisanja funkcija za računanje parametara</w:t>
            </w:r>
          </w:p>
          <w:p w:rsidR="00000000" w:rsidDel="00000000" w:rsidP="00000000" w:rsidRDefault="00000000" w:rsidRPr="00000000" w14:paraId="0000007F">
            <w:pPr>
              <w:spacing w:after="80" w:lineRule="auto"/>
              <w:jc w:val="both"/>
              <w:rPr/>
            </w:pPr>
            <w:r w:rsidDel="00000000" w:rsidR="00000000" w:rsidRPr="00000000">
              <w:rPr>
                <w:rtl w:val="0"/>
              </w:rPr>
              <w:t xml:space="preserve">sastojaka jednog proizvoda na osnovu njegovih i svojih parametara.</w:t>
            </w:r>
          </w:p>
          <w:p w:rsidR="00000000" w:rsidDel="00000000" w:rsidP="00000000" w:rsidRDefault="00000000" w:rsidRPr="00000000" w14:paraId="00000080">
            <w:pPr>
              <w:spacing w:after="80" w:lineRule="auto"/>
              <w:jc w:val="both"/>
              <w:rPr/>
            </w:pPr>
            <w:r w:rsidDel="00000000" w:rsidR="00000000" w:rsidRPr="00000000">
              <w:rPr>
                <w:rtl w:val="0"/>
              </w:rPr>
              <w:t xml:space="preserve">- Neophodno je imati mogućnost sledljivosti na nivou šarže i na nivou</w:t>
            </w:r>
          </w:p>
          <w:p w:rsidR="00000000" w:rsidDel="00000000" w:rsidP="00000000" w:rsidRDefault="00000000" w:rsidRPr="00000000" w14:paraId="00000081">
            <w:pPr>
              <w:spacing w:after="80" w:lineRule="auto"/>
              <w:jc w:val="both"/>
              <w:rPr/>
            </w:pPr>
            <w:r w:rsidDel="00000000" w:rsidR="00000000" w:rsidRPr="00000000">
              <w:rPr>
                <w:rtl w:val="0"/>
              </w:rPr>
              <w:t xml:space="preserve">pojedinačnog komada (serijskog broja)</w:t>
            </w:r>
          </w:p>
          <w:p w:rsidR="00000000" w:rsidDel="00000000" w:rsidP="00000000" w:rsidRDefault="00000000" w:rsidRPr="00000000" w14:paraId="00000082">
            <w:pPr>
              <w:spacing w:after="80" w:lineRule="auto"/>
              <w:jc w:val="both"/>
              <w:rPr/>
            </w:pPr>
            <w:r w:rsidDel="00000000" w:rsidR="00000000" w:rsidRPr="00000000">
              <w:rPr>
                <w:rtl w:val="0"/>
              </w:rPr>
              <w:t xml:space="preserve">- Specijalizacija softvera industriji proizvodnje stolarije: Mogućnost modelovanja</w:t>
            </w:r>
          </w:p>
          <w:p w:rsidR="00000000" w:rsidDel="00000000" w:rsidP="00000000" w:rsidRDefault="00000000" w:rsidRPr="00000000" w14:paraId="00000083">
            <w:pPr>
              <w:spacing w:after="80" w:lineRule="auto"/>
              <w:jc w:val="both"/>
              <w:rPr/>
            </w:pPr>
            <w:r w:rsidDel="00000000" w:rsidR="00000000" w:rsidRPr="00000000">
              <w:rPr>
                <w:rtl w:val="0"/>
              </w:rPr>
              <w:t xml:space="preserve">inventara u slučaju kompleksnih proizvoda poput kosog prozora ili višekrilnih</w:t>
            </w:r>
          </w:p>
          <w:p w:rsidR="00000000" w:rsidDel="00000000" w:rsidP="00000000" w:rsidRDefault="00000000" w:rsidRPr="00000000" w14:paraId="00000084">
            <w:pPr>
              <w:spacing w:after="80" w:lineRule="auto"/>
              <w:jc w:val="both"/>
              <w:rPr/>
            </w:pPr>
            <w:r w:rsidDel="00000000" w:rsidR="00000000" w:rsidRPr="00000000">
              <w:rPr>
                <w:rtl w:val="0"/>
              </w:rPr>
              <w:t xml:space="preserve">prozora.</w:t>
            </w:r>
          </w:p>
          <w:p w:rsidR="00000000" w:rsidDel="00000000" w:rsidP="00000000" w:rsidRDefault="00000000" w:rsidRPr="00000000" w14:paraId="00000085">
            <w:pPr>
              <w:spacing w:after="80" w:lineRule="auto"/>
              <w:jc w:val="both"/>
              <w:rPr/>
            </w:pPr>
            <w:r w:rsidDel="00000000" w:rsidR="00000000" w:rsidRPr="00000000">
              <w:rPr>
                <w:rtl w:val="0"/>
              </w:rPr>
              <w:t xml:space="preserve">- Softverski algoritmi za dinamičko planiranje u “realnom” vremenu vezani za</w:t>
            </w:r>
          </w:p>
          <w:p w:rsidR="00000000" w:rsidDel="00000000" w:rsidP="00000000" w:rsidRDefault="00000000" w:rsidRPr="00000000" w14:paraId="00000086">
            <w:pPr>
              <w:spacing w:after="80" w:lineRule="auto"/>
              <w:jc w:val="both"/>
              <w:rPr/>
            </w:pPr>
            <w:r w:rsidDel="00000000" w:rsidR="00000000" w:rsidRPr="00000000">
              <w:rPr>
                <w:rtl w:val="0"/>
              </w:rPr>
              <w:t xml:space="preserve">planiranje:</w:t>
            </w:r>
          </w:p>
          <w:p w:rsidR="00000000" w:rsidDel="00000000" w:rsidP="00000000" w:rsidRDefault="00000000" w:rsidRPr="00000000" w14:paraId="00000087">
            <w:pPr>
              <w:spacing w:after="80" w:lineRule="auto"/>
              <w:jc w:val="both"/>
              <w:rPr/>
            </w:pPr>
            <w:r w:rsidDel="00000000" w:rsidR="00000000" w:rsidRPr="00000000">
              <w:rPr>
                <w:rtl w:val="0"/>
              </w:rPr>
              <w:t xml:space="preserve">- stanja magacina u vremenu</w:t>
            </w:r>
          </w:p>
          <w:p w:rsidR="00000000" w:rsidDel="00000000" w:rsidP="00000000" w:rsidRDefault="00000000" w:rsidRPr="00000000" w14:paraId="00000088">
            <w:pPr>
              <w:spacing w:after="80" w:lineRule="auto"/>
              <w:jc w:val="both"/>
              <w:rPr/>
            </w:pPr>
            <w:r w:rsidDel="00000000" w:rsidR="00000000" w:rsidRPr="00000000">
              <w:rPr>
                <w:rtl w:val="0"/>
              </w:rPr>
              <w:t xml:space="preserve">- dostupnosti materijala po radnim nalozima</w:t>
            </w:r>
          </w:p>
          <w:p w:rsidR="00000000" w:rsidDel="00000000" w:rsidP="00000000" w:rsidRDefault="00000000" w:rsidRPr="00000000" w14:paraId="00000089">
            <w:pPr>
              <w:spacing w:after="80" w:lineRule="auto"/>
              <w:jc w:val="both"/>
              <w:rPr/>
            </w:pPr>
            <w:r w:rsidDel="00000000" w:rsidR="00000000" w:rsidRPr="00000000">
              <w:rPr>
                <w:rtl w:val="0"/>
              </w:rPr>
              <w:t xml:space="preserve">- termina početka i kraja radnih naloga</w:t>
            </w:r>
          </w:p>
          <w:p w:rsidR="00000000" w:rsidDel="00000000" w:rsidP="00000000" w:rsidRDefault="00000000" w:rsidRPr="00000000" w14:paraId="0000008A">
            <w:pPr>
              <w:spacing w:after="80" w:lineRule="auto"/>
              <w:jc w:val="both"/>
              <w:rPr/>
            </w:pPr>
            <w:r w:rsidDel="00000000" w:rsidR="00000000" w:rsidRPr="00000000">
              <w:rPr>
                <w:rtl w:val="0"/>
              </w:rPr>
              <w:t xml:space="preserve">- optimalne raspodele operacija po radnim stanicama i radnicima</w:t>
            </w:r>
          </w:p>
          <w:p w:rsidR="00000000" w:rsidDel="00000000" w:rsidP="00000000" w:rsidRDefault="00000000" w:rsidRPr="00000000" w14:paraId="0000008B">
            <w:pPr>
              <w:spacing w:after="80" w:lineRule="auto"/>
              <w:jc w:val="both"/>
              <w:rPr/>
            </w:pPr>
            <w:r w:rsidDel="00000000" w:rsidR="00000000" w:rsidRPr="00000000">
              <w:rPr>
                <w:rtl w:val="0"/>
              </w:rPr>
              <w:t xml:space="preserve">- termina početka i kraja operacija u radnim nalozima</w:t>
            </w:r>
          </w:p>
          <w:p w:rsidR="00000000" w:rsidDel="00000000" w:rsidP="00000000" w:rsidRDefault="00000000" w:rsidRPr="00000000" w14:paraId="0000008C">
            <w:pPr>
              <w:spacing w:after="80" w:lineRule="auto"/>
              <w:jc w:val="both"/>
              <w:rPr/>
            </w:pPr>
            <w:r w:rsidDel="00000000" w:rsidR="00000000" w:rsidRPr="00000000">
              <w:rPr>
                <w:rtl w:val="0"/>
              </w:rPr>
              <w:t xml:space="preserve">- optimalne rezne liste sa optimizacijom uštede materijala</w:t>
            </w:r>
          </w:p>
        </w:tc>
      </w:tr>
      <w:tr>
        <w:trPr>
          <w:cantSplit w:val="0"/>
          <w:tblHeader w:val="0"/>
        </w:trPr>
        <w:tc>
          <w:tcPr>
            <w:shd w:fill="e7e6e6" w:val="clear"/>
          </w:tcPr>
          <w:p w:rsidR="00000000" w:rsidDel="00000000" w:rsidP="00000000" w:rsidRDefault="00000000" w:rsidRPr="00000000" w14:paraId="0000008D">
            <w:pPr>
              <w:spacing w:after="80" w:lineRule="auto"/>
              <w:rPr/>
            </w:pPr>
            <w:r w:rsidDel="00000000" w:rsidR="00000000" w:rsidRPr="00000000">
              <w:rPr>
                <w:rtl w:val="0"/>
              </w:rPr>
              <w:t xml:space="preserve">Način dokazivanja ispunjenosti kriterijuma:</w:t>
            </w:r>
          </w:p>
        </w:tc>
        <w:tc>
          <w:tcPr/>
          <w:p w:rsidR="00000000" w:rsidDel="00000000" w:rsidP="00000000" w:rsidRDefault="00000000" w:rsidRPr="00000000" w14:paraId="0000008E">
            <w:pPr>
              <w:spacing w:after="80" w:lineRule="auto"/>
              <w:rPr/>
            </w:pPr>
            <w:r w:rsidDel="00000000" w:rsidR="00000000" w:rsidRPr="00000000">
              <w:rPr>
                <w:rtl w:val="0"/>
              </w:rPr>
              <w:t xml:space="preserve">Potvra o već sprovedenim projektima ove vrste.</w:t>
            </w:r>
          </w:p>
        </w:tc>
      </w:tr>
    </w:tbl>
    <w:p w:rsidR="00000000" w:rsidDel="00000000" w:rsidP="00000000" w:rsidRDefault="00000000" w:rsidRPr="00000000" w14:paraId="0000008F">
      <w:pPr>
        <w:jc w:val="both"/>
        <w:rPr>
          <w:u w:val="single"/>
        </w:rPr>
      </w:pPr>
      <w:r w:rsidDel="00000000" w:rsidR="00000000" w:rsidRPr="00000000">
        <w:rPr>
          <w:rtl w:val="0"/>
        </w:rPr>
      </w:r>
    </w:p>
    <w:p w:rsidR="00000000" w:rsidDel="00000000" w:rsidP="00000000" w:rsidRDefault="00000000" w:rsidRPr="00000000" w14:paraId="00000090">
      <w:pPr>
        <w:jc w:val="both"/>
        <w:rPr>
          <w:u w:val="single"/>
        </w:rPr>
      </w:pP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ind w:left="720" w:hanging="360"/>
        <w:jc w:val="both"/>
        <w:rPr>
          <w:color w:val="000000"/>
          <w:u w:val="single"/>
        </w:rPr>
      </w:pPr>
      <w:r w:rsidDel="00000000" w:rsidR="00000000" w:rsidRPr="00000000">
        <w:rPr>
          <w:color w:val="000000"/>
          <w:u w:val="single"/>
          <w:rtl w:val="0"/>
        </w:rPr>
        <w:t xml:space="preserve">Kriterijumi za dodeljivanje ugovora o Nabavci</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Naručilac je kao kriterijum za dodeljivanje ugovora o Nabavci definisao princip ekonomski najpovoljnije ponude, što se utvrđuje na osnovu </w:t>
      </w:r>
      <w:r w:rsidDel="00000000" w:rsidR="00000000" w:rsidRPr="00000000">
        <w:rPr>
          <w:b w:val="1"/>
          <w:rtl w:val="0"/>
        </w:rPr>
        <w:t xml:space="preserve">ponuđene cene</w:t>
      </w:r>
      <w:r w:rsidDel="00000000" w:rsidR="00000000" w:rsidRPr="00000000">
        <w:rPr>
          <w:rtl w:val="0"/>
        </w:rPr>
        <w:t xml:space="preserve">. Cena usluge se iskazuje u RSD valuti. </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Rok važenja ponude mora biti najmanje 60 dana od momenta dostavljanja ponude. </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t xml:space="preserve">Očekuje se da usluga bude izvršena u roku do 12 meseci. </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Naručilac zadržava pravo da u svakom trenutku može odustati od nabavke ukoliko se za tim ukaže potreba o čemu će obavestiti ponuđača, a obavezuje se da sve primljene informacije zadrži za sebe i ne distribuira trećim licima.</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Ako nakon primene kriterijuma za dodelu ugovora o nabavci postoje dve ili više ponuda koje su jednako rangirane, odluku donosi predsednik Komisije.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Rok važenja ovog javnog poziva je 14 dana od dana objavljivanja ovog javnog poziva, odnosno do 18.09.2025. godine do 17:00 časova.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Ovaj javni poziv se objavljuje na internet stranici Naručioca </w:t>
      </w:r>
      <w:hyperlink r:id="rId8">
        <w:r w:rsidDel="00000000" w:rsidR="00000000" w:rsidRPr="00000000">
          <w:rPr>
            <w:color w:val="0563c1"/>
            <w:u w:val="single"/>
            <w:rtl w:val="0"/>
          </w:rPr>
          <w:t xml:space="preserve">www.smehub.rs</w:t>
        </w:r>
      </w:hyperlink>
      <w:r w:rsidDel="00000000" w:rsidR="00000000" w:rsidRPr="00000000">
        <w:rPr>
          <w:rtl w:val="0"/>
        </w:rPr>
        <w:t xml:space="preserve">.</w:t>
      </w:r>
    </w:p>
    <w:p w:rsidR="00000000" w:rsidDel="00000000" w:rsidP="00000000" w:rsidRDefault="00000000" w:rsidRPr="00000000" w14:paraId="000000A0">
      <w:pPr>
        <w:jc w:val="both"/>
        <w:rPr/>
      </w:pPr>
      <w:r w:rsidDel="00000000" w:rsidR="00000000" w:rsidRPr="00000000">
        <w:rPr>
          <w:rtl w:val="0"/>
        </w:rPr>
      </w:r>
    </w:p>
    <w:tbl>
      <w:tblPr>
        <w:tblStyle w:val="Table4"/>
        <w:tblW w:w="9015.0" w:type="dxa"/>
        <w:jc w:val="left"/>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jc w:val="right"/>
              <w:rPr/>
            </w:pPr>
            <w:r w:rsidDel="00000000" w:rsidR="00000000" w:rsidRPr="00000000">
              <w:rPr>
                <w:rtl w:val="0"/>
              </w:rPr>
              <w:t xml:space="preserve">Za Naručioca</w:t>
            </w:r>
          </w:p>
          <w:p w:rsidR="00000000" w:rsidDel="00000000" w:rsidP="00000000" w:rsidRDefault="00000000" w:rsidRPr="00000000" w14:paraId="000000A3">
            <w:pPr>
              <w:jc w:val="both"/>
              <w:rPr/>
            </w:pPr>
            <w:r w:rsidDel="00000000" w:rsidR="00000000" w:rsidRPr="00000000">
              <w:rPr>
                <w:rtl w:val="0"/>
              </w:rPr>
            </w:r>
          </w:p>
        </w:tc>
      </w:tr>
    </w:tbl>
    <w:p w:rsidR="00000000" w:rsidDel="00000000" w:rsidP="00000000" w:rsidRDefault="00000000" w:rsidRPr="00000000" w14:paraId="000000A4">
      <w:pPr>
        <w:spacing w:line="240" w:lineRule="auto"/>
        <w:ind w:left="720" w:firstLine="0"/>
        <w:rPr>
          <w:color w:val="0563c1"/>
          <w:u w:val="single"/>
        </w:rPr>
      </w:pPr>
      <w:r w:rsidDel="00000000" w:rsidR="00000000" w:rsidRPr="00000000">
        <w:rPr>
          <w:rtl w:val="0"/>
        </w:rPr>
      </w:r>
    </w:p>
    <w:p w:rsidR="00000000" w:rsidDel="00000000" w:rsidP="00000000" w:rsidRDefault="00000000" w:rsidRPr="00000000" w14:paraId="000000A5">
      <w:pPr>
        <w:spacing w:line="240" w:lineRule="auto"/>
        <w:ind w:left="720" w:firstLine="0"/>
        <w:jc w:val="right"/>
        <w:rPr/>
      </w:pPr>
      <w:r w:rsidDel="00000000" w:rsidR="00000000" w:rsidRPr="00000000">
        <w:rPr/>
        <w:drawing>
          <wp:inline distB="114300" distT="114300" distL="114300" distR="114300">
            <wp:extent cx="1417312" cy="1136524"/>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17312" cy="1136524"/>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line="240" w:lineRule="auto"/>
        <w:ind w:left="720" w:firstLine="0"/>
        <w:jc w:val="right"/>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720" w:firstLine="0"/>
        <w:jc w:val="right"/>
        <w:rPr>
          <w:color w:val="000000"/>
        </w:rPr>
      </w:pPr>
      <w:r w:rsidDel="00000000" w:rsidR="00000000" w:rsidRPr="00000000">
        <w:rPr>
          <w:rtl w:val="0"/>
        </w:rPr>
      </w:r>
    </w:p>
    <w:p w:rsidR="00000000" w:rsidDel="00000000" w:rsidP="00000000" w:rsidRDefault="00000000" w:rsidRPr="00000000" w14:paraId="000000A8">
      <w:pPr>
        <w:spacing w:line="240" w:lineRule="auto"/>
        <w:jc w:val="right"/>
        <w:rPr/>
      </w:pPr>
      <w:r w:rsidDel="00000000" w:rsidR="00000000" w:rsidRPr="00000000">
        <w:rPr>
          <w:rtl w:val="0"/>
        </w:rPr>
        <w:t xml:space="preserve">__________________________________</w:t>
      </w:r>
    </w:p>
    <w:p w:rsidR="00000000" w:rsidDel="00000000" w:rsidP="00000000" w:rsidRDefault="00000000" w:rsidRPr="00000000" w14:paraId="000000A9">
      <w:pPr>
        <w:spacing w:line="240" w:lineRule="auto"/>
        <w:jc w:val="right"/>
        <w:rPr/>
      </w:pPr>
      <w:r w:rsidDel="00000000" w:rsidR="00000000" w:rsidRPr="00000000">
        <w:rPr>
          <w:rtl w:val="0"/>
        </w:rPr>
        <w:t xml:space="preserve">Vladimir Matović</w:t>
      </w:r>
    </w:p>
    <w:p w:rsidR="00000000" w:rsidDel="00000000" w:rsidP="00000000" w:rsidRDefault="00000000" w:rsidRPr="00000000" w14:paraId="000000AA">
      <w:pPr>
        <w:jc w:val="right"/>
        <w:rPr/>
      </w:pPr>
      <w:r w:rsidDel="00000000" w:rsidR="00000000" w:rsidRPr="00000000">
        <w:rPr>
          <w:color w:val="000000"/>
          <w:sz w:val="21"/>
          <w:szCs w:val="21"/>
          <w:rtl w:val="0"/>
        </w:rPr>
        <w:t xml:space="preserve">Senior Business Transformation Expert</w:t>
      </w:r>
      <w:r w:rsidDel="00000000" w:rsidR="00000000" w:rsidRPr="00000000">
        <w:rPr>
          <w:rtl w:val="0"/>
        </w:rPr>
      </w:r>
    </w:p>
    <w:p w:rsidR="00000000" w:rsidDel="00000000" w:rsidP="00000000" w:rsidRDefault="00000000" w:rsidRPr="00000000" w14:paraId="000000AB">
      <w:pPr>
        <w:spacing w:line="240" w:lineRule="auto"/>
        <w:jc w:val="right"/>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1871" w:footer="1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pict>
        <v:shape id="WordPictureWatermark1" style="position:absolute;width:597.75pt;height:823.3pt;rotation:0;z-index:-503316481;mso-position-horizontal-relative:margin;mso-position-horizontal:absolute;margin-left:-64.34992125984252pt;mso-position-vertical-relative:margin;mso-position-vertical:absolute;margin-top:-53.45pt;" alt="" type="#_x0000_t75">
          <v:imagedata cropbottom="0f" cropleft="0f" cropright="0f" croptop="0f" r:id="rId1" o:title="image1.png"/>
        </v:shape>
      </w:pic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decimal"/>
      <w:lvlText w:val="%1.%2."/>
      <w:lvlJc w:val="left"/>
      <w:pPr>
        <w:ind w:left="1146"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sr-Latn-RS"/>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894CA2"/>
    <w:pPr>
      <w:tabs>
        <w:tab w:val="center" w:pos="4513"/>
        <w:tab w:val="right" w:pos="9026"/>
      </w:tabs>
      <w:spacing w:line="240" w:lineRule="auto"/>
    </w:pPr>
  </w:style>
  <w:style w:type="character" w:styleId="HeaderChar" w:customStyle="1">
    <w:name w:val="Header Char"/>
    <w:basedOn w:val="DefaultParagraphFont"/>
    <w:link w:val="Header"/>
    <w:uiPriority w:val="99"/>
    <w:rsid w:val="00894CA2"/>
    <w:rPr>
      <w:rFonts w:ascii="Cambria" w:hAnsi="Cambria"/>
    </w:rPr>
  </w:style>
  <w:style w:type="paragraph" w:styleId="Footer">
    <w:name w:val="footer"/>
    <w:basedOn w:val="Normal"/>
    <w:link w:val="FooterChar"/>
    <w:uiPriority w:val="99"/>
    <w:unhideWhenUsed w:val="1"/>
    <w:rsid w:val="00894CA2"/>
    <w:pPr>
      <w:tabs>
        <w:tab w:val="center" w:pos="4513"/>
        <w:tab w:val="right" w:pos="9026"/>
      </w:tabs>
      <w:spacing w:line="240" w:lineRule="auto"/>
    </w:pPr>
  </w:style>
  <w:style w:type="character" w:styleId="FooterChar" w:customStyle="1">
    <w:name w:val="Footer Char"/>
    <w:basedOn w:val="DefaultParagraphFont"/>
    <w:link w:val="Footer"/>
    <w:uiPriority w:val="99"/>
    <w:rsid w:val="00894CA2"/>
    <w:rPr>
      <w:rFonts w:ascii="Cambria" w:hAnsi="Cambria"/>
    </w:rPr>
  </w:style>
  <w:style w:type="paragraph" w:styleId="ListParagraph">
    <w:name w:val="List Paragraph"/>
    <w:aliases w:val="GL Bullet List Paragraph"/>
    <w:basedOn w:val="Normal"/>
    <w:link w:val="ListParagraphChar"/>
    <w:uiPriority w:val="34"/>
    <w:qFormat w:val="1"/>
    <w:rsid w:val="00894CA2"/>
    <w:pPr>
      <w:ind w:left="720"/>
      <w:contextualSpacing w:val="1"/>
    </w:pPr>
  </w:style>
  <w:style w:type="character" w:styleId="CommentReference">
    <w:name w:val="annotation reference"/>
    <w:basedOn w:val="DefaultParagraphFont"/>
    <w:uiPriority w:val="99"/>
    <w:semiHidden w:val="1"/>
    <w:unhideWhenUsed w:val="1"/>
    <w:rsid w:val="00894CA2"/>
    <w:rPr>
      <w:sz w:val="16"/>
      <w:szCs w:val="16"/>
    </w:rPr>
  </w:style>
  <w:style w:type="paragraph" w:styleId="CommentText">
    <w:name w:val="annotation text"/>
    <w:basedOn w:val="Normal"/>
    <w:link w:val="CommentTextChar"/>
    <w:uiPriority w:val="99"/>
    <w:unhideWhenUsed w:val="1"/>
    <w:rsid w:val="00894CA2"/>
    <w:pPr>
      <w:spacing w:line="240" w:lineRule="auto"/>
    </w:pPr>
    <w:rPr>
      <w:sz w:val="20"/>
      <w:szCs w:val="20"/>
    </w:rPr>
  </w:style>
  <w:style w:type="character" w:styleId="CommentTextChar" w:customStyle="1">
    <w:name w:val="Comment Text Char"/>
    <w:basedOn w:val="DefaultParagraphFont"/>
    <w:link w:val="CommentText"/>
    <w:uiPriority w:val="99"/>
    <w:rsid w:val="00894CA2"/>
    <w:rPr>
      <w:rFonts w:ascii="Cambria" w:hAnsi="Cambria"/>
      <w:sz w:val="20"/>
      <w:szCs w:val="20"/>
    </w:rPr>
  </w:style>
  <w:style w:type="table" w:styleId="TableGrid">
    <w:name w:val="Table Grid"/>
    <w:basedOn w:val="TableNormal"/>
    <w:uiPriority w:val="39"/>
    <w:rsid w:val="00894CA2"/>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GL Bullet List Paragraph Char"/>
    <w:basedOn w:val="DefaultParagraphFont"/>
    <w:link w:val="ListParagraph"/>
    <w:uiPriority w:val="34"/>
    <w:rsid w:val="00932B3B"/>
    <w:rPr>
      <w:rFonts w:ascii="Cambria" w:hAnsi="Cambria"/>
    </w:rPr>
  </w:style>
  <w:style w:type="paragraph" w:styleId="CommentSubject">
    <w:name w:val="annotation subject"/>
    <w:basedOn w:val="CommentText"/>
    <w:next w:val="CommentText"/>
    <w:link w:val="CommentSubjectChar"/>
    <w:uiPriority w:val="99"/>
    <w:semiHidden w:val="1"/>
    <w:unhideWhenUsed w:val="1"/>
    <w:rsid w:val="00BE15EE"/>
    <w:rPr>
      <w:b w:val="1"/>
      <w:bCs w:val="1"/>
    </w:rPr>
  </w:style>
  <w:style w:type="character" w:styleId="CommentSubjectChar" w:customStyle="1">
    <w:name w:val="Comment Subject Char"/>
    <w:basedOn w:val="CommentTextChar"/>
    <w:link w:val="CommentSubject"/>
    <w:uiPriority w:val="99"/>
    <w:semiHidden w:val="1"/>
    <w:rsid w:val="00BE15EE"/>
    <w:rPr>
      <w:rFonts w:ascii="Cambria" w:hAnsi="Cambria"/>
      <w:b w:val="1"/>
      <w:bCs w:val="1"/>
      <w:sz w:val="20"/>
      <w:szCs w:val="20"/>
    </w:rPr>
  </w:style>
  <w:style w:type="paragraph" w:styleId="Revision">
    <w:name w:val="Revision"/>
    <w:hidden w:val="1"/>
    <w:uiPriority w:val="99"/>
    <w:semiHidden w:val="1"/>
    <w:rsid w:val="00591D09"/>
    <w:pPr>
      <w:spacing w:line="240" w:lineRule="auto"/>
    </w:pPr>
  </w:style>
  <w:style w:type="character" w:styleId="Hyperlink">
    <w:name w:val="Hyperlink"/>
    <w:basedOn w:val="DefaultParagraphFont"/>
    <w:uiPriority w:val="99"/>
    <w:unhideWhenUsed w:val="1"/>
    <w:rsid w:val="003379FF"/>
    <w:rPr>
      <w:color w:val="0563c1" w:themeColor="hyperlink"/>
      <w:u w:val="single"/>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567B37"/>
    <w:rPr>
      <w:color w:val="605e5c"/>
      <w:shd w:color="auto" w:fill="e1dfdd" w:val="clear"/>
    </w:rPr>
  </w:style>
  <w:style w:type="table" w:styleId="a5" w:customStyle="1">
    <w:basedOn w:val="TableNormal"/>
    <w:pPr>
      <w:spacing w:line="240" w:lineRule="auto"/>
    </w:pPr>
    <w:tblPr>
      <w:tblStyleRowBandSize w:val="1"/>
      <w:tblStyleColBandSize w:val="1"/>
    </w:tblPr>
  </w:style>
  <w:style w:type="table" w:styleId="a6" w:customStyle="1">
    <w:basedOn w:val="TableNormal"/>
    <w:pPr>
      <w:spacing w:line="240" w:lineRule="auto"/>
    </w:pPr>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bavka@smehub.rs" TargetMode="External"/><Relationship Id="rId8" Type="http://schemas.openxmlformats.org/officeDocument/2006/relationships/hyperlink" Target="http://www.smehub.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IiuUb1t/SUbKADhToaqWTGPSQ==">CgMxLjA4AHIhMXFJM3l0S3FyMnRVcHlfU3NyaGVlV042MlJ4bTVUV1Ni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2024-06-20T13:35:00Z</dcterms:created>
  <dc:creator>OM&amp;Partners</dc:creator>
</cp:coreProperties>
</file>